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69D2" w:rsidRDefault="004A4451">
      <w:pPr>
        <w:jc w:val="center"/>
      </w:pPr>
      <w:r>
        <w:rPr>
          <w:b/>
          <w:sz w:val="18"/>
          <w:szCs w:val="18"/>
        </w:rPr>
        <w:t xml:space="preserve">Внесен в государственный реестр нормативных правовых актов исполнительных органов </w:t>
      </w:r>
    </w:p>
    <w:p w:rsidR="001869D2" w:rsidRDefault="004A4451">
      <w:pPr>
        <w:jc w:val="center"/>
      </w:pPr>
      <w:r>
        <w:rPr>
          <w:b/>
          <w:sz w:val="18"/>
          <w:szCs w:val="18"/>
        </w:rPr>
        <w:t>Ханты-Мансийского автономн</w:t>
      </w:r>
      <w:r>
        <w:rPr>
          <w:b/>
          <w:sz w:val="18"/>
          <w:szCs w:val="18"/>
        </w:rPr>
        <w:t>ого округа - Югры за № 7890 от 17.12.2024</w:t>
      </w:r>
    </w:p>
    <w:p w:rsidR="001869D2" w:rsidRDefault="004A445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70563" cy="612000"/>
                <wp:effectExtent l="6350" t="6350" r="6350" b="635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77966" name="Picture 1" descr="gerb3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70563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.8pt;height:48.2pt;mso-wrap-distance-left:0.0pt;mso-wrap-distance-top:0.0pt;mso-wrap-distance-right:0.0pt;mso-wrap-distance-bottom:0.0pt;rotation:0;" stroked="f">
                <v:path textboxrect="0,0,0,0"/>
                <v:imagedata r:id="rId12" o:title=""/>
              </v:shape>
            </w:pict>
          </mc:Fallback>
        </mc:AlternateContent>
      </w:r>
    </w:p>
    <w:p w:rsidR="001869D2" w:rsidRDefault="001869D2">
      <w:pPr>
        <w:jc w:val="right"/>
      </w:pPr>
    </w:p>
    <w:p w:rsidR="001869D2" w:rsidRDefault="004A4451">
      <w:pPr>
        <w:pStyle w:val="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РЕГИОНАЛЬНАЯ СЛУЖБА ПО ТАРИФАМ</w:t>
      </w:r>
    </w:p>
    <w:p w:rsidR="001869D2" w:rsidRDefault="004A4451">
      <w:pPr>
        <w:pStyle w:val="2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ХАНТЫ-МАНСИЙСКОГО АВТОНОМНОГО ОКРУГА – ЮГРЫ</w:t>
      </w:r>
    </w:p>
    <w:p w:rsidR="001869D2" w:rsidRDefault="004A4451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(РСТ ЮГРЫ)</w:t>
      </w:r>
    </w:p>
    <w:p w:rsidR="001869D2" w:rsidRDefault="001869D2">
      <w:pPr>
        <w:shd w:val="clear" w:color="auto" w:fill="FFFFFF"/>
        <w:jc w:val="center"/>
        <w:rPr>
          <w:color w:val="000000"/>
          <w:szCs w:val="28"/>
        </w:rPr>
      </w:pPr>
    </w:p>
    <w:p w:rsidR="001869D2" w:rsidRDefault="004A4451">
      <w:p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ПРИКАЗ </w:t>
      </w:r>
    </w:p>
    <w:p w:rsidR="001869D2" w:rsidRDefault="004A4451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некоторые приказы Региональной службы по тарифам Ханты-Мансийского автономного округа – Югры </w:t>
      </w:r>
    </w:p>
    <w:p w:rsidR="001869D2" w:rsidRPr="004A4451" w:rsidRDefault="004A4451" w:rsidP="004A4451">
      <w:pPr>
        <w:pStyle w:val="1"/>
        <w:tabs>
          <w:tab w:val="left" w:pos="5910"/>
        </w:tabs>
        <w:spacing w:before="0" w:after="0"/>
        <w:rPr>
          <w:color w:val="000000"/>
          <w:sz w:val="22"/>
          <w:szCs w:val="22"/>
        </w:rPr>
      </w:pPr>
      <w:r>
        <w:rPr>
          <w:sz w:val="28"/>
          <w:szCs w:val="28"/>
        </w:rPr>
        <w:tab/>
      </w:r>
      <w:r w:rsidRPr="004A4451">
        <w:rPr>
          <w:color w:val="000000"/>
          <w:sz w:val="22"/>
          <w:szCs w:val="22"/>
        </w:rPr>
        <w:t>г. Ханты-Мансийск</w:t>
      </w:r>
    </w:p>
    <w:p w:rsidR="001869D2" w:rsidRPr="004A4451" w:rsidRDefault="004A4451" w:rsidP="004A4451">
      <w:pPr>
        <w:jc w:val="both"/>
        <w:rPr>
          <w:color w:val="000000"/>
          <w:sz w:val="22"/>
          <w:szCs w:val="22"/>
        </w:rPr>
      </w:pPr>
      <w:r w:rsidRPr="004A4451">
        <w:rPr>
          <w:color w:val="000000"/>
          <w:sz w:val="22"/>
          <w:szCs w:val="22"/>
        </w:rPr>
        <w:t>1</w:t>
      </w:r>
      <w:r w:rsidRPr="004A4451">
        <w:rPr>
          <w:color w:val="000000"/>
          <w:sz w:val="22"/>
          <w:szCs w:val="22"/>
        </w:rPr>
        <w:t>2 декабря 2024 г.</w:t>
      </w:r>
      <w:r w:rsidRPr="004A4451">
        <w:rPr>
          <w:color w:val="000000"/>
          <w:sz w:val="22"/>
          <w:szCs w:val="22"/>
        </w:rPr>
        <w:tab/>
      </w:r>
      <w:r w:rsidRPr="004A4451">
        <w:rPr>
          <w:color w:val="000000"/>
          <w:sz w:val="22"/>
          <w:szCs w:val="22"/>
        </w:rPr>
        <w:tab/>
      </w:r>
      <w:r w:rsidRPr="004A4451">
        <w:rPr>
          <w:color w:val="000000"/>
          <w:sz w:val="22"/>
          <w:szCs w:val="22"/>
        </w:rPr>
        <w:tab/>
      </w:r>
      <w:r w:rsidRPr="004A4451">
        <w:rPr>
          <w:color w:val="000000"/>
          <w:sz w:val="22"/>
          <w:szCs w:val="22"/>
        </w:rPr>
        <w:tab/>
      </w:r>
      <w:r w:rsidRPr="004A4451">
        <w:rPr>
          <w:color w:val="000000"/>
          <w:sz w:val="22"/>
          <w:szCs w:val="22"/>
        </w:rPr>
        <w:tab/>
      </w:r>
      <w:r w:rsidRPr="004A4451">
        <w:rPr>
          <w:color w:val="000000"/>
          <w:sz w:val="22"/>
          <w:szCs w:val="22"/>
        </w:rPr>
        <w:tab/>
      </w:r>
      <w:r w:rsidRPr="004A445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Pr="004A4451">
        <w:rPr>
          <w:sz w:val="22"/>
          <w:szCs w:val="22"/>
        </w:rPr>
        <w:t xml:space="preserve">   № 118-</w:t>
      </w:r>
      <w:r w:rsidRPr="004A4451">
        <w:rPr>
          <w:color w:val="000000"/>
          <w:sz w:val="22"/>
          <w:szCs w:val="22"/>
        </w:rPr>
        <w:t>нп</w:t>
      </w:r>
    </w:p>
    <w:p w:rsidR="001869D2" w:rsidRPr="004A4451" w:rsidRDefault="001869D2" w:rsidP="004A4451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869D2" w:rsidRPr="004A4451" w:rsidRDefault="004A4451" w:rsidP="004A4451">
      <w:pPr>
        <w:widowControl w:val="0"/>
        <w:ind w:firstLine="720"/>
        <w:jc w:val="both"/>
        <w:rPr>
          <w:sz w:val="22"/>
          <w:szCs w:val="22"/>
        </w:rPr>
      </w:pPr>
      <w:r w:rsidRPr="004A4451">
        <w:rPr>
          <w:sz w:val="22"/>
          <w:szCs w:val="22"/>
        </w:rPr>
        <w:t xml:space="preserve">В соответствии с Федеральным законом от 7 декабря 2011 года </w:t>
      </w:r>
      <w:r w:rsidRPr="004A4451">
        <w:rPr>
          <w:sz w:val="22"/>
          <w:szCs w:val="22"/>
        </w:rPr>
        <w:br/>
        <w:t xml:space="preserve">№ 416-ФЗ «О водоснабжении и водоотведении», постановлением Правительства Российской Федерации от 13 мая 2013 года № 406 </w:t>
      </w:r>
      <w:r w:rsidRPr="004A4451">
        <w:rPr>
          <w:sz w:val="22"/>
          <w:szCs w:val="22"/>
        </w:rPr>
        <w:br/>
        <w:t>«О государственном регулировании тарифов в сфере водоснабжения и водоотведения», на основании</w:t>
      </w:r>
      <w:r w:rsidRPr="004A4451">
        <w:rPr>
          <w:bCs/>
          <w:sz w:val="22"/>
          <w:szCs w:val="22"/>
        </w:rPr>
        <w:t xml:space="preserve"> постановления Правительства </w:t>
      </w:r>
      <w:r w:rsidRPr="004A4451">
        <w:rPr>
          <w:bCs/>
          <w:sz w:val="22"/>
          <w:szCs w:val="22"/>
        </w:rPr>
        <w:br/>
        <w:t xml:space="preserve">Ханты-Мансийского автономного округа – Югры от 14 апреля 2012 года № 137-п «О Региональной службе по тарифам Ханты-Мансийского автономного округа – Югры», </w:t>
      </w:r>
      <w:r w:rsidRPr="004A4451">
        <w:rPr>
          <w:sz w:val="22"/>
          <w:szCs w:val="22"/>
        </w:rPr>
        <w:t>обращений организаций, осуществляющих горячее водоснабжение, и протокола правления Региональной службы по тарифа</w:t>
      </w:r>
      <w:r w:rsidRPr="004A4451">
        <w:rPr>
          <w:sz w:val="22"/>
          <w:szCs w:val="22"/>
        </w:rPr>
        <w:t xml:space="preserve">м Ханты-Мансийского автономного округа – Югры от 12 декабря 2024 года № 62 </w:t>
      </w:r>
      <w:r w:rsidRPr="004A4451">
        <w:rPr>
          <w:b/>
          <w:sz w:val="22"/>
          <w:szCs w:val="22"/>
        </w:rPr>
        <w:t>п р и к а з ы в а ю</w:t>
      </w:r>
      <w:r w:rsidRPr="004A4451">
        <w:rPr>
          <w:sz w:val="22"/>
          <w:szCs w:val="22"/>
        </w:rPr>
        <w:t>:</w:t>
      </w:r>
    </w:p>
    <w:p w:rsidR="001869D2" w:rsidRPr="004A4451" w:rsidRDefault="001869D2" w:rsidP="004A4451">
      <w:pPr>
        <w:widowControl w:val="0"/>
        <w:ind w:firstLine="720"/>
        <w:jc w:val="both"/>
        <w:rPr>
          <w:sz w:val="22"/>
          <w:szCs w:val="22"/>
        </w:rPr>
      </w:pPr>
    </w:p>
    <w:p w:rsidR="001869D2" w:rsidRPr="004A4451" w:rsidRDefault="004A4451" w:rsidP="004A4451">
      <w:pPr>
        <w:pStyle w:val="1"/>
        <w:keepNext w:val="0"/>
        <w:widowControl w:val="0"/>
        <w:spacing w:before="0" w:after="0"/>
        <w:ind w:firstLine="708"/>
        <w:rPr>
          <w:rFonts w:ascii="Times New Roman" w:hAnsi="Times New Roman"/>
          <w:b w:val="0"/>
          <w:sz w:val="22"/>
          <w:szCs w:val="22"/>
        </w:rPr>
      </w:pPr>
      <w:r w:rsidRPr="004A4451">
        <w:rPr>
          <w:rFonts w:ascii="Times New Roman" w:eastAsia="Calibri" w:hAnsi="Times New Roman"/>
          <w:b w:val="0"/>
          <w:sz w:val="22"/>
          <w:szCs w:val="22"/>
        </w:rPr>
        <w:t>1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 xml:space="preserve">. Внести в 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приказ Региональной службы по тарифам </w:t>
      </w:r>
      <w:r w:rsidRPr="004A4451">
        <w:rPr>
          <w:rFonts w:ascii="Times New Roman" w:hAnsi="Times New Roman"/>
          <w:b w:val="0"/>
          <w:sz w:val="22"/>
          <w:szCs w:val="22"/>
        </w:rPr>
        <w:br/>
      </w:r>
      <w:r w:rsidRPr="004A4451">
        <w:rPr>
          <w:rFonts w:ascii="Times New Roman" w:hAnsi="Times New Roman"/>
          <w:b w:val="0"/>
          <w:sz w:val="22"/>
          <w:szCs w:val="22"/>
        </w:rPr>
        <w:t xml:space="preserve">Ханты-Мансийского автономного округа – Югры 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 xml:space="preserve">от 15 декабря 2020 года </w:t>
      </w:r>
      <w:r w:rsidRPr="004A4451">
        <w:rPr>
          <w:rFonts w:ascii="Times New Roman" w:eastAsia="Calibri" w:hAnsi="Times New Roman"/>
          <w:b w:val="0"/>
          <w:sz w:val="22"/>
          <w:szCs w:val="22"/>
        </w:rPr>
        <w:br/>
        <w:t>№ 113-нп «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Об установлении 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тарифов на горячую воду в закрытой системе горячего водоснабжения для организаций, осуществляющих горячее водоснабжение» изменение, изложив 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приложение 3 в редакции согласно приложению </w:t>
      </w:r>
      <w:r w:rsidRPr="004A4451">
        <w:rPr>
          <w:rFonts w:ascii="Times New Roman" w:hAnsi="Times New Roman"/>
          <w:b w:val="0"/>
          <w:sz w:val="22"/>
          <w:szCs w:val="22"/>
        </w:rPr>
        <w:t>1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 к настоящему приказу.</w:t>
      </w:r>
    </w:p>
    <w:p w:rsidR="001869D2" w:rsidRPr="004A4451" w:rsidRDefault="004A4451" w:rsidP="004A4451">
      <w:pPr>
        <w:pStyle w:val="1"/>
        <w:keepNext w:val="0"/>
        <w:widowControl w:val="0"/>
        <w:spacing w:before="0" w:after="0"/>
        <w:ind w:firstLine="708"/>
        <w:rPr>
          <w:rFonts w:ascii="Times New Roman" w:hAnsi="Times New Roman"/>
          <w:b w:val="0"/>
          <w:sz w:val="22"/>
          <w:szCs w:val="22"/>
        </w:rPr>
      </w:pPr>
      <w:r w:rsidRPr="004A4451">
        <w:rPr>
          <w:rFonts w:ascii="Times New Roman" w:hAnsi="Times New Roman"/>
          <w:b w:val="0"/>
          <w:sz w:val="22"/>
          <w:szCs w:val="22"/>
        </w:rPr>
        <w:t xml:space="preserve">2. 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 xml:space="preserve">Внести в 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приказ Региональной службы по тарифам </w:t>
      </w:r>
      <w:r w:rsidRPr="004A4451">
        <w:rPr>
          <w:rFonts w:ascii="Times New Roman" w:hAnsi="Times New Roman"/>
          <w:b w:val="0"/>
          <w:sz w:val="22"/>
          <w:szCs w:val="22"/>
        </w:rPr>
        <w:br/>
        <w:t xml:space="preserve">Ханты-Мансийского автономного округа – Югры 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 xml:space="preserve">от 29 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>ноября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 xml:space="preserve"> 2022 года </w:t>
      </w:r>
      <w:r w:rsidRPr="004A4451">
        <w:rPr>
          <w:rFonts w:ascii="Times New Roman" w:eastAsia="Calibri" w:hAnsi="Times New Roman"/>
          <w:b w:val="0"/>
          <w:sz w:val="22"/>
          <w:szCs w:val="22"/>
        </w:rPr>
        <w:br/>
        <w:t>№ 1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>01</w:t>
      </w:r>
      <w:r w:rsidRPr="004A4451">
        <w:rPr>
          <w:rFonts w:ascii="Times New Roman" w:eastAsia="Calibri" w:hAnsi="Times New Roman"/>
          <w:b w:val="0"/>
          <w:sz w:val="22"/>
          <w:szCs w:val="22"/>
        </w:rPr>
        <w:t>-нп «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Об установлении </w:t>
      </w:r>
      <w:r w:rsidRPr="004A4451">
        <w:rPr>
          <w:rFonts w:ascii="Times New Roman" w:hAnsi="Times New Roman"/>
          <w:b w:val="0"/>
          <w:sz w:val="22"/>
          <w:szCs w:val="22"/>
        </w:rPr>
        <w:t xml:space="preserve">тарифов на горячую воду в закрытой системе горячего водоснабжения для организаций, осуществляющих горячее водоснабжение, и о внесении изменений в некоторые приказы Региональной службы по тарифам Ханты-Мансийского автономного округа – Югры» следующие изменения: </w:t>
      </w:r>
    </w:p>
    <w:p w:rsidR="001869D2" w:rsidRPr="004A4451" w:rsidRDefault="004A4451" w:rsidP="004A4451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  <w:r w:rsidRPr="004A4451">
        <w:rPr>
          <w:rFonts w:ascii="Times New Roman" w:hAnsi="Times New Roman"/>
          <w:b w:val="0"/>
          <w:sz w:val="22"/>
          <w:szCs w:val="22"/>
        </w:rPr>
        <w:t>2.1. Приложение 2 изложить в редакции согласно приложению 2 к настоящему приказу.</w:t>
      </w:r>
    </w:p>
    <w:p w:rsidR="001869D2" w:rsidRPr="004A4451" w:rsidRDefault="004A4451" w:rsidP="004A4451">
      <w:pPr>
        <w:jc w:val="both"/>
        <w:rPr>
          <w:sz w:val="22"/>
          <w:szCs w:val="22"/>
        </w:rPr>
      </w:pPr>
      <w:r w:rsidRPr="004A4451">
        <w:rPr>
          <w:sz w:val="22"/>
          <w:szCs w:val="22"/>
        </w:rPr>
        <w:tab/>
        <w:t xml:space="preserve">2.2. </w:t>
      </w:r>
      <w:r w:rsidRPr="004A4451">
        <w:rPr>
          <w:sz w:val="22"/>
          <w:szCs w:val="22"/>
        </w:rPr>
        <w:t>Приложение 3 изложить в редакции согласно приложению 3 к настоящему приказу.</w:t>
      </w:r>
    </w:p>
    <w:p w:rsidR="001869D2" w:rsidRPr="004A4451" w:rsidRDefault="004A4451" w:rsidP="004A4451">
      <w:pPr>
        <w:ind w:firstLine="709"/>
        <w:rPr>
          <w:sz w:val="22"/>
          <w:szCs w:val="22"/>
        </w:rPr>
      </w:pPr>
      <w:r w:rsidRPr="004A4451">
        <w:rPr>
          <w:sz w:val="22"/>
          <w:szCs w:val="22"/>
        </w:rPr>
        <w:t xml:space="preserve">3. </w:t>
      </w:r>
      <w:r w:rsidRPr="004A4451">
        <w:rPr>
          <w:rFonts w:eastAsia="Calibri"/>
          <w:sz w:val="22"/>
          <w:szCs w:val="22"/>
        </w:rPr>
        <w:t xml:space="preserve">Внести в </w:t>
      </w:r>
      <w:r w:rsidRPr="004A4451">
        <w:rPr>
          <w:sz w:val="22"/>
          <w:szCs w:val="22"/>
        </w:rPr>
        <w:t xml:space="preserve">приказ Региональной службы по тарифам </w:t>
      </w:r>
      <w:r w:rsidRPr="004A4451">
        <w:rPr>
          <w:sz w:val="22"/>
          <w:szCs w:val="22"/>
        </w:rPr>
        <w:br/>
        <w:t xml:space="preserve">Ханты-Мансийского автономного округа – Югры </w:t>
      </w:r>
      <w:r w:rsidRPr="004A4451">
        <w:rPr>
          <w:rFonts w:eastAsia="Calibri"/>
          <w:sz w:val="22"/>
          <w:szCs w:val="22"/>
        </w:rPr>
        <w:t xml:space="preserve">от 12 декабря 2023 года </w:t>
      </w:r>
      <w:r w:rsidRPr="004A4451">
        <w:rPr>
          <w:rFonts w:eastAsia="Calibri"/>
          <w:sz w:val="22"/>
          <w:szCs w:val="22"/>
        </w:rPr>
        <w:br/>
        <w:t>№ 119-нп «</w:t>
      </w:r>
      <w:r w:rsidRPr="004A4451">
        <w:rPr>
          <w:sz w:val="22"/>
          <w:szCs w:val="22"/>
        </w:rPr>
        <w:t xml:space="preserve">Об установлении тарифов на горячую воду в закрытой системе горячего водоснабжения для организаций, осуществляющих горячее водоснабжение» следующие изменения: </w:t>
      </w:r>
    </w:p>
    <w:p w:rsidR="001869D2" w:rsidRPr="004A4451" w:rsidRDefault="004A4451" w:rsidP="004A4451">
      <w:pPr>
        <w:pStyle w:val="1"/>
        <w:keepNext w:val="0"/>
        <w:widowControl w:val="0"/>
        <w:spacing w:before="0" w:after="0"/>
        <w:ind w:firstLine="708"/>
        <w:jc w:val="both"/>
        <w:rPr>
          <w:sz w:val="22"/>
          <w:szCs w:val="22"/>
        </w:rPr>
      </w:pPr>
      <w:r w:rsidRPr="004A4451">
        <w:rPr>
          <w:rFonts w:ascii="Times New Roman" w:hAnsi="Times New Roman"/>
          <w:b w:val="0"/>
          <w:sz w:val="22"/>
          <w:szCs w:val="22"/>
        </w:rPr>
        <w:lastRenderedPageBreak/>
        <w:t>3.1. Приложение 1 изложить в редакции согласно приложению 4 к настоящему приказу.</w:t>
      </w:r>
    </w:p>
    <w:p w:rsidR="001869D2" w:rsidRPr="004A4451" w:rsidRDefault="004A4451" w:rsidP="004A4451">
      <w:pPr>
        <w:jc w:val="both"/>
        <w:rPr>
          <w:sz w:val="22"/>
          <w:szCs w:val="22"/>
        </w:rPr>
      </w:pPr>
      <w:r w:rsidRPr="004A4451">
        <w:rPr>
          <w:sz w:val="22"/>
          <w:szCs w:val="22"/>
        </w:rPr>
        <w:tab/>
        <w:t xml:space="preserve">3.2. </w:t>
      </w:r>
      <w:r w:rsidRPr="004A4451">
        <w:rPr>
          <w:sz w:val="22"/>
          <w:szCs w:val="22"/>
        </w:rPr>
        <w:t>В приложении 2:</w:t>
      </w:r>
    </w:p>
    <w:p w:rsidR="001869D2" w:rsidRPr="004A4451" w:rsidRDefault="004A4451" w:rsidP="004A4451">
      <w:pPr>
        <w:ind w:firstLine="708"/>
        <w:jc w:val="both"/>
        <w:rPr>
          <w:sz w:val="22"/>
          <w:szCs w:val="22"/>
        </w:rPr>
      </w:pPr>
      <w:r w:rsidRPr="004A4451">
        <w:rPr>
          <w:sz w:val="22"/>
          <w:szCs w:val="22"/>
        </w:rPr>
        <w:t>3.2.1. Строки 1 - 5 изложить в следующей редакции:</w:t>
      </w:r>
    </w:p>
    <w:p w:rsidR="001869D2" w:rsidRPr="00FD7F38" w:rsidRDefault="00FD7F38" w:rsidP="00FD7F38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FD7F38">
        <w:rPr>
          <w:sz w:val="16"/>
          <w:szCs w:val="16"/>
        </w:rPr>
        <w:t>2024</w:t>
      </w:r>
      <w:r>
        <w:rPr>
          <w:sz w:val="16"/>
          <w:szCs w:val="16"/>
        </w:rPr>
        <w:t xml:space="preserve">                       </w:t>
      </w:r>
      <w:r w:rsidRPr="00FD7F38">
        <w:rPr>
          <w:sz w:val="16"/>
          <w:szCs w:val="16"/>
        </w:rPr>
        <w:t>2025</w:t>
      </w:r>
      <w:r>
        <w:rPr>
          <w:sz w:val="16"/>
          <w:szCs w:val="16"/>
        </w:rPr>
        <w:t xml:space="preserve">                    </w:t>
      </w:r>
      <w:r w:rsidRPr="00FD7F38">
        <w:rPr>
          <w:sz w:val="16"/>
          <w:szCs w:val="16"/>
        </w:rPr>
        <w:t>2026</w:t>
      </w:r>
      <w:r>
        <w:rPr>
          <w:sz w:val="16"/>
          <w:szCs w:val="16"/>
        </w:rPr>
        <w:t xml:space="preserve">                    </w:t>
      </w:r>
      <w:r w:rsidRPr="00FD7F38">
        <w:rPr>
          <w:sz w:val="16"/>
          <w:szCs w:val="16"/>
        </w:rPr>
        <w:t>2027</w:t>
      </w:r>
      <w:r>
        <w:rPr>
          <w:sz w:val="16"/>
          <w:szCs w:val="16"/>
        </w:rPr>
        <w:t xml:space="preserve">                    </w:t>
      </w:r>
      <w:r w:rsidRPr="00FD7F38">
        <w:rPr>
          <w:sz w:val="16"/>
          <w:szCs w:val="16"/>
        </w:rPr>
        <w:t>2028</w:t>
      </w:r>
    </w:p>
    <w:tbl>
      <w:tblPr>
        <w:tblW w:w="35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53"/>
        <w:gridCol w:w="1110"/>
        <w:gridCol w:w="833"/>
        <w:gridCol w:w="1066"/>
        <w:gridCol w:w="664"/>
        <w:gridCol w:w="696"/>
        <w:gridCol w:w="558"/>
        <w:gridCol w:w="558"/>
        <w:gridCol w:w="558"/>
        <w:gridCol w:w="558"/>
        <w:gridCol w:w="558"/>
        <w:gridCol w:w="558"/>
        <w:gridCol w:w="558"/>
        <w:gridCol w:w="556"/>
      </w:tblGrid>
      <w:tr w:rsidR="001869D2" w:rsidTr="00FD7F38">
        <w:trPr>
          <w:trHeight w:val="532"/>
          <w:jc w:val="center"/>
        </w:trPr>
        <w:tc>
          <w:tcPr>
            <w:tcW w:w="183" w:type="pct"/>
            <w:vMerge w:val="restart"/>
            <w:vAlign w:val="center"/>
          </w:tcPr>
          <w:p w:rsidR="001869D2" w:rsidRDefault="00FD7F38">
            <w:pPr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20</w:t>
            </w:r>
            <w:r w:rsidR="004A4451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640" w:type="pct"/>
            <w:vMerge w:val="restart"/>
            <w:vAlign w:val="center"/>
          </w:tcPr>
          <w:p w:rsidR="001869D2" w:rsidRDefault="004A4451">
            <w:pPr>
              <w:rPr>
                <w:rFonts w:eastAsia="Calibri"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Общество с ограниченной ответственностью «Концессионная Коммунальная Компания» в зоне деятельности филиала «</w:t>
            </w:r>
            <w:proofErr w:type="spellStart"/>
            <w:r>
              <w:rPr>
                <w:sz w:val="14"/>
                <w:szCs w:val="14"/>
              </w:rPr>
              <w:t>Лангепасские</w:t>
            </w:r>
            <w:proofErr w:type="spellEnd"/>
            <w:r>
              <w:rPr>
                <w:sz w:val="14"/>
                <w:szCs w:val="14"/>
              </w:rPr>
              <w:t xml:space="preserve"> коммунальные системы»</w:t>
            </w:r>
          </w:p>
        </w:tc>
        <w:tc>
          <w:tcPr>
            <w:tcW w:w="525" w:type="pct"/>
            <w:vMerge w:val="restart"/>
            <w:vAlign w:val="center"/>
          </w:tcPr>
          <w:p w:rsidR="001869D2" w:rsidRDefault="004A4451">
            <w:pPr>
              <w:pStyle w:val="aff2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 xml:space="preserve">городской округ Лангепас Ханты-Мансийского автономного округа – Югры </w:t>
            </w:r>
          </w:p>
        </w:tc>
        <w:tc>
          <w:tcPr>
            <w:tcW w:w="394" w:type="pct"/>
            <w:vMerge w:val="restart"/>
            <w:shd w:val="clear" w:color="FFFFFF" w:fill="FFFFFF"/>
            <w:vAlign w:val="center"/>
          </w:tcPr>
          <w:p w:rsidR="001869D2" w:rsidRDefault="004A44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Для прочих потребителей</w:t>
            </w:r>
          </w:p>
          <w:p w:rsidR="001869D2" w:rsidRDefault="004A44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(без учета НДС)</w:t>
            </w:r>
          </w:p>
        </w:tc>
        <w:tc>
          <w:tcPr>
            <w:tcW w:w="504" w:type="pct"/>
            <w:shd w:val="clear" w:color="FFFFFF" w:fill="FFFFFF"/>
            <w:vAlign w:val="center"/>
          </w:tcPr>
          <w:p w:rsidR="001869D2" w:rsidRDefault="004A4451">
            <w:pPr>
              <w:pStyle w:val="aff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одноставочный на холодную воду, руб./куб. м</w:t>
            </w:r>
          </w:p>
        </w:tc>
        <w:tc>
          <w:tcPr>
            <w:tcW w:w="31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52,77</w:t>
            </w:r>
          </w:p>
        </w:tc>
        <w:tc>
          <w:tcPr>
            <w:tcW w:w="329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57,83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57,83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63,03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63,03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66,42</w:t>
            </w:r>
          </w:p>
        </w:tc>
        <w:tc>
          <w:tcPr>
            <w:tcW w:w="264" w:type="pct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66,42</w:t>
            </w:r>
          </w:p>
        </w:tc>
        <w:tc>
          <w:tcPr>
            <w:tcW w:w="264" w:type="pct"/>
            <w:shd w:val="clear" w:color="FFFFFF" w:fill="FFFFFF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69,57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69,57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72,89</w:t>
            </w:r>
          </w:p>
        </w:tc>
      </w:tr>
      <w:tr w:rsidR="001869D2" w:rsidTr="00FD7F38">
        <w:trPr>
          <w:trHeight w:val="566"/>
          <w:jc w:val="center"/>
        </w:trPr>
        <w:tc>
          <w:tcPr>
            <w:tcW w:w="183" w:type="pct"/>
            <w:vMerge/>
            <w:vAlign w:val="center"/>
          </w:tcPr>
          <w:p w:rsidR="001869D2" w:rsidRDefault="001869D2">
            <w:pPr>
              <w:pStyle w:val="aff2"/>
              <w:jc w:val="center"/>
            </w:pPr>
          </w:p>
        </w:tc>
        <w:tc>
          <w:tcPr>
            <w:tcW w:w="640" w:type="pct"/>
            <w:vMerge/>
            <w:vAlign w:val="center"/>
          </w:tcPr>
          <w:p w:rsidR="001869D2" w:rsidRDefault="001869D2">
            <w:pPr>
              <w:pStyle w:val="aff2"/>
              <w:rPr>
                <w:highlight w:val="yellow"/>
              </w:rPr>
            </w:pPr>
          </w:p>
        </w:tc>
        <w:tc>
          <w:tcPr>
            <w:tcW w:w="525" w:type="pct"/>
            <w:vMerge/>
            <w:vAlign w:val="center"/>
          </w:tcPr>
          <w:p w:rsidR="001869D2" w:rsidRDefault="001869D2">
            <w:pPr>
              <w:pStyle w:val="aff2"/>
              <w:rPr>
                <w:highlight w:val="yellow"/>
              </w:rPr>
            </w:pPr>
          </w:p>
        </w:tc>
        <w:tc>
          <w:tcPr>
            <w:tcW w:w="394" w:type="pct"/>
            <w:vMerge/>
            <w:shd w:val="clear" w:color="FFFFFF" w:fill="FFFFFF"/>
            <w:vAlign w:val="center"/>
          </w:tcPr>
          <w:p w:rsidR="001869D2" w:rsidRDefault="001869D2">
            <w:pPr>
              <w:pStyle w:val="aff2"/>
            </w:pPr>
          </w:p>
        </w:tc>
        <w:tc>
          <w:tcPr>
            <w:tcW w:w="504" w:type="pct"/>
            <w:shd w:val="clear" w:color="FFFFFF" w:fill="FFFFFF"/>
            <w:vAlign w:val="center"/>
          </w:tcPr>
          <w:p w:rsidR="001869D2" w:rsidRDefault="004A4451">
            <w:pPr>
              <w:pStyle w:val="aff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одноставочный на тепловую энергию, руб./ Гкал</w:t>
            </w:r>
          </w:p>
        </w:tc>
        <w:tc>
          <w:tcPr>
            <w:tcW w:w="31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1859,83</w:t>
            </w:r>
          </w:p>
        </w:tc>
        <w:tc>
          <w:tcPr>
            <w:tcW w:w="329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2038,37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2038,37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2221,82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2221,82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2240,64</w:t>
            </w:r>
          </w:p>
        </w:tc>
        <w:tc>
          <w:tcPr>
            <w:tcW w:w="264" w:type="pct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2240,64</w:t>
            </w:r>
          </w:p>
        </w:tc>
        <w:tc>
          <w:tcPr>
            <w:tcW w:w="264" w:type="pct"/>
            <w:shd w:val="clear" w:color="FFFFFF" w:fill="FFFFFF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2348,17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2348,17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2352,87</w:t>
            </w:r>
          </w:p>
        </w:tc>
      </w:tr>
      <w:tr w:rsidR="001869D2" w:rsidTr="00FD7F38">
        <w:trPr>
          <w:trHeight w:val="535"/>
          <w:jc w:val="center"/>
        </w:trPr>
        <w:tc>
          <w:tcPr>
            <w:tcW w:w="183" w:type="pct"/>
            <w:vMerge/>
            <w:vAlign w:val="center"/>
          </w:tcPr>
          <w:p w:rsidR="001869D2" w:rsidRDefault="001869D2">
            <w:pPr>
              <w:pStyle w:val="aff2"/>
              <w:jc w:val="center"/>
            </w:pPr>
          </w:p>
        </w:tc>
        <w:tc>
          <w:tcPr>
            <w:tcW w:w="640" w:type="pct"/>
            <w:vMerge/>
            <w:vAlign w:val="center"/>
          </w:tcPr>
          <w:p w:rsidR="001869D2" w:rsidRDefault="001869D2">
            <w:pPr>
              <w:pStyle w:val="aff2"/>
              <w:rPr>
                <w:highlight w:val="yellow"/>
              </w:rPr>
            </w:pPr>
          </w:p>
        </w:tc>
        <w:tc>
          <w:tcPr>
            <w:tcW w:w="525" w:type="pct"/>
            <w:vMerge/>
            <w:vAlign w:val="center"/>
          </w:tcPr>
          <w:p w:rsidR="001869D2" w:rsidRDefault="001869D2">
            <w:pPr>
              <w:pStyle w:val="aff2"/>
              <w:rPr>
                <w:highlight w:val="yellow"/>
              </w:rPr>
            </w:pPr>
          </w:p>
        </w:tc>
        <w:tc>
          <w:tcPr>
            <w:tcW w:w="394" w:type="pct"/>
            <w:vMerge w:val="restart"/>
            <w:shd w:val="clear" w:color="FFFFFF" w:fill="FFFFFF"/>
            <w:vAlign w:val="center"/>
          </w:tcPr>
          <w:p w:rsidR="001869D2" w:rsidRDefault="004A4451">
            <w:pPr>
              <w:pStyle w:val="aff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Для населения</w:t>
            </w:r>
          </w:p>
          <w:p w:rsidR="001869D2" w:rsidRDefault="004A4451">
            <w:pPr>
              <w:pStyle w:val="aff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учетом НДС)*</w:t>
            </w:r>
          </w:p>
        </w:tc>
        <w:tc>
          <w:tcPr>
            <w:tcW w:w="504" w:type="pct"/>
            <w:shd w:val="clear" w:color="FFFFFF" w:fill="FFFFFF"/>
            <w:vAlign w:val="center"/>
          </w:tcPr>
          <w:p w:rsidR="001869D2" w:rsidRDefault="004A4451">
            <w:pPr>
              <w:pStyle w:val="aff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одноставочный на холодную воду, руб./куб. м</w:t>
            </w:r>
          </w:p>
        </w:tc>
        <w:tc>
          <w:tcPr>
            <w:tcW w:w="31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63,32</w:t>
            </w:r>
          </w:p>
        </w:tc>
        <w:tc>
          <w:tcPr>
            <w:tcW w:w="329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69,40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69,40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75,64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75,64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79,70</w:t>
            </w:r>
          </w:p>
        </w:tc>
        <w:tc>
          <w:tcPr>
            <w:tcW w:w="264" w:type="pct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79,40</w:t>
            </w:r>
          </w:p>
        </w:tc>
        <w:tc>
          <w:tcPr>
            <w:tcW w:w="264" w:type="pct"/>
            <w:shd w:val="clear" w:color="FFFFFF" w:fill="FFFFFF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83,48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83,48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87,47</w:t>
            </w:r>
          </w:p>
        </w:tc>
      </w:tr>
      <w:tr w:rsidR="001869D2" w:rsidTr="00FD7F38">
        <w:trPr>
          <w:trHeight w:val="545"/>
          <w:jc w:val="center"/>
        </w:trPr>
        <w:tc>
          <w:tcPr>
            <w:tcW w:w="183" w:type="pct"/>
            <w:vMerge/>
            <w:vAlign w:val="center"/>
          </w:tcPr>
          <w:p w:rsidR="001869D2" w:rsidRDefault="001869D2">
            <w:pPr>
              <w:pStyle w:val="aff2"/>
              <w:jc w:val="center"/>
            </w:pPr>
          </w:p>
        </w:tc>
        <w:tc>
          <w:tcPr>
            <w:tcW w:w="640" w:type="pct"/>
            <w:vMerge/>
            <w:vAlign w:val="center"/>
          </w:tcPr>
          <w:p w:rsidR="001869D2" w:rsidRDefault="001869D2">
            <w:pPr>
              <w:pStyle w:val="aff2"/>
              <w:rPr>
                <w:highlight w:val="yellow"/>
              </w:rPr>
            </w:pPr>
          </w:p>
        </w:tc>
        <w:tc>
          <w:tcPr>
            <w:tcW w:w="525" w:type="pct"/>
            <w:vMerge/>
            <w:vAlign w:val="center"/>
          </w:tcPr>
          <w:p w:rsidR="001869D2" w:rsidRDefault="001869D2">
            <w:pPr>
              <w:pStyle w:val="aff2"/>
              <w:rPr>
                <w:highlight w:val="yellow"/>
              </w:rPr>
            </w:pPr>
          </w:p>
        </w:tc>
        <w:tc>
          <w:tcPr>
            <w:tcW w:w="394" w:type="pct"/>
            <w:vMerge/>
            <w:shd w:val="clear" w:color="FFFFFF" w:fill="FFFFFF"/>
            <w:vAlign w:val="center"/>
          </w:tcPr>
          <w:p w:rsidR="001869D2" w:rsidRDefault="001869D2">
            <w:pPr>
              <w:pStyle w:val="aff2"/>
            </w:pPr>
          </w:p>
        </w:tc>
        <w:tc>
          <w:tcPr>
            <w:tcW w:w="504" w:type="pct"/>
            <w:shd w:val="clear" w:color="FFFFFF" w:fill="FFFFFF"/>
            <w:vAlign w:val="center"/>
          </w:tcPr>
          <w:p w:rsidR="001869D2" w:rsidRDefault="004A4451">
            <w:pPr>
              <w:pStyle w:val="aff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одноставочный</w:t>
            </w:r>
            <w:r>
              <w:rPr>
                <w:sz w:val="14"/>
                <w:szCs w:val="14"/>
              </w:rPr>
              <w:t xml:space="preserve"> на тепловую энергию, руб./ Гкал</w:t>
            </w:r>
          </w:p>
        </w:tc>
        <w:tc>
          <w:tcPr>
            <w:tcW w:w="31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2231,80</w:t>
            </w:r>
          </w:p>
        </w:tc>
        <w:tc>
          <w:tcPr>
            <w:tcW w:w="329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2446,04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2446,04</w:t>
            </w:r>
          </w:p>
        </w:tc>
        <w:tc>
          <w:tcPr>
            <w:tcW w:w="264" w:type="pct"/>
            <w:shd w:val="clear" w:color="FFFFFF" w:fill="FFFFFF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2666,18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2666,18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2688,77</w:t>
            </w:r>
          </w:p>
        </w:tc>
        <w:tc>
          <w:tcPr>
            <w:tcW w:w="264" w:type="pct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2688,77</w:t>
            </w:r>
          </w:p>
        </w:tc>
        <w:tc>
          <w:tcPr>
            <w:tcW w:w="264" w:type="pct"/>
            <w:shd w:val="clear" w:color="FFFFFF" w:fill="FFFFFF"/>
            <w:noWrap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2817,80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2817,80</w:t>
            </w:r>
          </w:p>
        </w:tc>
        <w:tc>
          <w:tcPr>
            <w:tcW w:w="264" w:type="pct"/>
            <w:vAlign w:val="center"/>
          </w:tcPr>
          <w:p w:rsidR="001869D2" w:rsidRDefault="004A4451">
            <w:pPr>
              <w:ind w:left="-57" w:righ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2823,44</w:t>
            </w:r>
          </w:p>
        </w:tc>
      </w:tr>
    </w:tbl>
    <w:p w:rsidR="001869D2" w:rsidRPr="00FD7F38" w:rsidRDefault="001869D2">
      <w:pPr>
        <w:pStyle w:val="af6"/>
        <w:ind w:left="7938" w:right="-2" w:hanging="716"/>
        <w:jc w:val="left"/>
        <w:rPr>
          <w:lang w:val="ru-RU"/>
        </w:rPr>
      </w:pPr>
    </w:p>
    <w:sectPr w:rsidR="001869D2" w:rsidRPr="00FD7F38" w:rsidSect="004A4451">
      <w:headerReference w:type="even" r:id="rId13"/>
      <w:headerReference w:type="default" r:id="rId14"/>
      <w:pgSz w:w="16838" w:h="11906" w:orient="landscape"/>
      <w:pgMar w:top="907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69D2" w:rsidRDefault="004A4451">
      <w:r>
        <w:separator/>
      </w:r>
    </w:p>
  </w:endnote>
  <w:endnote w:type="continuationSeparator" w:id="0">
    <w:p w:rsidR="001869D2" w:rsidRDefault="004A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69D2" w:rsidRDefault="004A4451">
      <w:r>
        <w:separator/>
      </w:r>
    </w:p>
  </w:footnote>
  <w:footnote w:type="continuationSeparator" w:id="0">
    <w:p w:rsidR="001869D2" w:rsidRDefault="004A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69D2" w:rsidRDefault="004A4451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869D2" w:rsidRDefault="001869D2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69D2" w:rsidRDefault="004A4451">
    <w:pPr>
      <w:pStyle w:val="af9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12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41694"/>
    <w:multiLevelType w:val="hybridMultilevel"/>
    <w:tmpl w:val="B8D44FFA"/>
    <w:lvl w:ilvl="0" w:tplc="B836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62DD2">
      <w:start w:val="1"/>
      <w:numFmt w:val="lowerLetter"/>
      <w:lvlText w:val="%2."/>
      <w:lvlJc w:val="left"/>
      <w:pPr>
        <w:ind w:left="1440" w:hanging="360"/>
      </w:pPr>
    </w:lvl>
    <w:lvl w:ilvl="2" w:tplc="3314FFEA">
      <w:start w:val="1"/>
      <w:numFmt w:val="lowerRoman"/>
      <w:lvlText w:val="%3."/>
      <w:lvlJc w:val="right"/>
      <w:pPr>
        <w:ind w:left="2160" w:hanging="180"/>
      </w:pPr>
    </w:lvl>
    <w:lvl w:ilvl="3" w:tplc="7FE4D38C">
      <w:start w:val="1"/>
      <w:numFmt w:val="decimal"/>
      <w:lvlText w:val="%4."/>
      <w:lvlJc w:val="left"/>
      <w:pPr>
        <w:ind w:left="2880" w:hanging="360"/>
      </w:pPr>
    </w:lvl>
    <w:lvl w:ilvl="4" w:tplc="447A833C">
      <w:start w:val="1"/>
      <w:numFmt w:val="lowerLetter"/>
      <w:lvlText w:val="%5."/>
      <w:lvlJc w:val="left"/>
      <w:pPr>
        <w:ind w:left="3600" w:hanging="360"/>
      </w:pPr>
    </w:lvl>
    <w:lvl w:ilvl="5" w:tplc="0BB8FE56">
      <w:start w:val="1"/>
      <w:numFmt w:val="lowerRoman"/>
      <w:lvlText w:val="%6."/>
      <w:lvlJc w:val="right"/>
      <w:pPr>
        <w:ind w:left="4320" w:hanging="180"/>
      </w:pPr>
    </w:lvl>
    <w:lvl w:ilvl="6" w:tplc="E04EACA6">
      <w:start w:val="1"/>
      <w:numFmt w:val="decimal"/>
      <w:lvlText w:val="%7."/>
      <w:lvlJc w:val="left"/>
      <w:pPr>
        <w:ind w:left="5040" w:hanging="360"/>
      </w:pPr>
    </w:lvl>
    <w:lvl w:ilvl="7" w:tplc="DA161820">
      <w:start w:val="1"/>
      <w:numFmt w:val="lowerLetter"/>
      <w:lvlText w:val="%8."/>
      <w:lvlJc w:val="left"/>
      <w:pPr>
        <w:ind w:left="5760" w:hanging="360"/>
      </w:pPr>
    </w:lvl>
    <w:lvl w:ilvl="8" w:tplc="D500E2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52916"/>
    <w:multiLevelType w:val="hybridMultilevel"/>
    <w:tmpl w:val="F6E0BBFC"/>
    <w:lvl w:ilvl="0" w:tplc="6D0CE5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072F7FA">
      <w:start w:val="1"/>
      <w:numFmt w:val="lowerLetter"/>
      <w:lvlText w:val="%2."/>
      <w:lvlJc w:val="left"/>
      <w:pPr>
        <w:ind w:left="1788" w:hanging="360"/>
      </w:pPr>
    </w:lvl>
    <w:lvl w:ilvl="2" w:tplc="E7601262">
      <w:start w:val="1"/>
      <w:numFmt w:val="lowerRoman"/>
      <w:lvlText w:val="%3."/>
      <w:lvlJc w:val="right"/>
      <w:pPr>
        <w:ind w:left="2508" w:hanging="180"/>
      </w:pPr>
    </w:lvl>
    <w:lvl w:ilvl="3" w:tplc="B47ED206">
      <w:start w:val="1"/>
      <w:numFmt w:val="decimal"/>
      <w:lvlText w:val="%4."/>
      <w:lvlJc w:val="left"/>
      <w:pPr>
        <w:ind w:left="3228" w:hanging="360"/>
      </w:pPr>
    </w:lvl>
    <w:lvl w:ilvl="4" w:tplc="C8F045EA">
      <w:start w:val="1"/>
      <w:numFmt w:val="lowerLetter"/>
      <w:lvlText w:val="%5."/>
      <w:lvlJc w:val="left"/>
      <w:pPr>
        <w:ind w:left="3948" w:hanging="360"/>
      </w:pPr>
    </w:lvl>
    <w:lvl w:ilvl="5" w:tplc="A1C815C8">
      <w:start w:val="1"/>
      <w:numFmt w:val="lowerRoman"/>
      <w:lvlText w:val="%6."/>
      <w:lvlJc w:val="right"/>
      <w:pPr>
        <w:ind w:left="4668" w:hanging="180"/>
      </w:pPr>
    </w:lvl>
    <w:lvl w:ilvl="6" w:tplc="FD2AC904">
      <w:start w:val="1"/>
      <w:numFmt w:val="decimal"/>
      <w:lvlText w:val="%7."/>
      <w:lvlJc w:val="left"/>
      <w:pPr>
        <w:ind w:left="5388" w:hanging="360"/>
      </w:pPr>
    </w:lvl>
    <w:lvl w:ilvl="7" w:tplc="3458A41C">
      <w:start w:val="1"/>
      <w:numFmt w:val="lowerLetter"/>
      <w:lvlText w:val="%8."/>
      <w:lvlJc w:val="left"/>
      <w:pPr>
        <w:ind w:left="6108" w:hanging="360"/>
      </w:pPr>
    </w:lvl>
    <w:lvl w:ilvl="8" w:tplc="552AB9F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584230"/>
    <w:multiLevelType w:val="hybridMultilevel"/>
    <w:tmpl w:val="F6522910"/>
    <w:lvl w:ilvl="0" w:tplc="AF029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E148A">
      <w:start w:val="1"/>
      <w:numFmt w:val="lowerLetter"/>
      <w:lvlText w:val="%2."/>
      <w:lvlJc w:val="left"/>
      <w:pPr>
        <w:ind w:left="1789" w:hanging="360"/>
      </w:pPr>
    </w:lvl>
    <w:lvl w:ilvl="2" w:tplc="44527982">
      <w:start w:val="1"/>
      <w:numFmt w:val="lowerRoman"/>
      <w:lvlText w:val="%3."/>
      <w:lvlJc w:val="right"/>
      <w:pPr>
        <w:ind w:left="2509" w:hanging="180"/>
      </w:pPr>
    </w:lvl>
    <w:lvl w:ilvl="3" w:tplc="FA38B9A6">
      <w:start w:val="1"/>
      <w:numFmt w:val="decimal"/>
      <w:lvlText w:val="%4."/>
      <w:lvlJc w:val="left"/>
      <w:pPr>
        <w:ind w:left="3229" w:hanging="360"/>
      </w:pPr>
    </w:lvl>
    <w:lvl w:ilvl="4" w:tplc="8F8ECA5E">
      <w:start w:val="1"/>
      <w:numFmt w:val="lowerLetter"/>
      <w:lvlText w:val="%5."/>
      <w:lvlJc w:val="left"/>
      <w:pPr>
        <w:ind w:left="3949" w:hanging="360"/>
      </w:pPr>
    </w:lvl>
    <w:lvl w:ilvl="5" w:tplc="0D3E7EB8">
      <w:start w:val="1"/>
      <w:numFmt w:val="lowerRoman"/>
      <w:lvlText w:val="%6."/>
      <w:lvlJc w:val="right"/>
      <w:pPr>
        <w:ind w:left="4669" w:hanging="180"/>
      </w:pPr>
    </w:lvl>
    <w:lvl w:ilvl="6" w:tplc="D6669784">
      <w:start w:val="1"/>
      <w:numFmt w:val="decimal"/>
      <w:lvlText w:val="%7."/>
      <w:lvlJc w:val="left"/>
      <w:pPr>
        <w:ind w:left="5389" w:hanging="360"/>
      </w:pPr>
    </w:lvl>
    <w:lvl w:ilvl="7" w:tplc="0928903A">
      <w:start w:val="1"/>
      <w:numFmt w:val="lowerLetter"/>
      <w:lvlText w:val="%8."/>
      <w:lvlJc w:val="left"/>
      <w:pPr>
        <w:ind w:left="6109" w:hanging="360"/>
      </w:pPr>
    </w:lvl>
    <w:lvl w:ilvl="8" w:tplc="69240F9A">
      <w:start w:val="1"/>
      <w:numFmt w:val="lowerRoman"/>
      <w:lvlText w:val="%9."/>
      <w:lvlJc w:val="right"/>
      <w:pPr>
        <w:ind w:left="6829" w:hanging="180"/>
      </w:pPr>
    </w:lvl>
  </w:abstractNum>
  <w:num w:numId="1" w16cid:durableId="1244874167">
    <w:abstractNumId w:val="0"/>
  </w:num>
  <w:num w:numId="2" w16cid:durableId="997880244">
    <w:abstractNumId w:val="2"/>
  </w:num>
  <w:num w:numId="3" w16cid:durableId="93436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D2"/>
    <w:rsid w:val="001869D2"/>
    <w:rsid w:val="004A4451"/>
    <w:rsid w:val="008909F5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C95A"/>
  <w15:docId w15:val="{76F83831-4FAC-4AAD-8B64-310F53C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pPr>
      <w:jc w:val="both"/>
    </w:pPr>
    <w:rPr>
      <w:lang w:val="en-US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/>
      <w:sz w:val="28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styleId="afb">
    <w:name w:val="page number"/>
    <w:basedOn w:val="a0"/>
  </w:style>
  <w:style w:type="paragraph" w:customStyle="1" w:styleId="CharChar">
    <w:name w:val="Char Char"/>
    <w:basedOn w:val="a"/>
    <w:pPr>
      <w:spacing w:after="160" w:line="240" w:lineRule="exact"/>
    </w:pPr>
    <w:rPr>
      <w:lang w:val="en-US" w:eastAsia="en-US"/>
    </w:rPr>
  </w:style>
  <w:style w:type="paragraph" w:styleId="afc">
    <w:name w:val="Body Text Indent"/>
    <w:basedOn w:val="a"/>
    <w:pPr>
      <w:spacing w:after="120"/>
      <w:ind w:left="283"/>
    </w:pPr>
    <w:rPr>
      <w:sz w:val="24"/>
      <w:szCs w:val="24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7">
    <w:name w:val="Основной текст Знак"/>
    <w:link w:val="af6"/>
    <w:rPr>
      <w:rFonts w:ascii="Times New Roman" w:eastAsia="Times New Roman" w:hAnsi="Times New Roman"/>
      <w:sz w:val="28"/>
      <w:lang w:val="en-US"/>
    </w:rPr>
  </w:style>
  <w:style w:type="character" w:customStyle="1" w:styleId="afa">
    <w:name w:val="Верхний колонтитул Знак"/>
    <w:link w:val="af9"/>
    <w:uiPriority w:val="99"/>
    <w:rPr>
      <w:rFonts w:ascii="Times New Roman" w:eastAsia="Times New Roman" w:hAnsi="Times New Roman"/>
      <w:sz w:val="28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Times New Roman" w:eastAsia="Times New Roman" w:hAnsi="Times New Roman"/>
      <w:sz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Pr>
      <w:rFonts w:ascii="Times New Roman" w:hAnsi="Times New Roman"/>
      <w:sz w:val="24"/>
      <w:szCs w:val="24"/>
    </w:rPr>
  </w:style>
  <w:style w:type="character" w:styleId="aff1">
    <w:name w:val="Strong"/>
    <w:qFormat/>
    <w:rPr>
      <w:rFonts w:cs="Times New Roman"/>
      <w:b/>
      <w:bCs/>
    </w:rPr>
  </w:style>
  <w:style w:type="paragraph" w:customStyle="1" w:styleId="ConsPlusNormal">
    <w:name w:val="ConsPlusNormal"/>
    <w:rPr>
      <w:rFonts w:ascii="Times New Roman" w:hAnsi="Times New Roman"/>
      <w:sz w:val="26"/>
      <w:szCs w:val="26"/>
    </w:rPr>
  </w:style>
  <w:style w:type="paragraph" w:styleId="aff2">
    <w:name w:val="No Spacing"/>
    <w:uiPriority w:val="1"/>
    <w:qFormat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58699-D2BF-4F1A-904F-97AEC7A4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NeustroevEA</dc:creator>
  <cp:keywords/>
  <dc:description/>
  <cp:lastModifiedBy>Каплан Александра Юрьевна</cp:lastModifiedBy>
  <cp:revision>2</cp:revision>
  <dcterms:created xsi:type="dcterms:W3CDTF">2025-03-13T10:41:00Z</dcterms:created>
  <dcterms:modified xsi:type="dcterms:W3CDTF">2025-03-13T10:41:00Z</dcterms:modified>
</cp:coreProperties>
</file>