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379D" w14:textId="77777777" w:rsidR="00495E5A" w:rsidRDefault="00120D74">
      <w:pPr>
        <w:jc w:val="center"/>
      </w:pPr>
      <w:r>
        <w:rPr>
          <w:b/>
          <w:sz w:val="18"/>
          <w:szCs w:val="18"/>
        </w:rPr>
        <w:t xml:space="preserve">Внесен в государственный реестр нормативных правовых актов исполнительных органов </w:t>
      </w:r>
    </w:p>
    <w:p w14:paraId="0D64591B" w14:textId="77777777" w:rsidR="00495E5A" w:rsidRDefault="00120D74">
      <w:pPr>
        <w:jc w:val="center"/>
      </w:pPr>
      <w:r>
        <w:rPr>
          <w:b/>
          <w:sz w:val="18"/>
          <w:szCs w:val="18"/>
        </w:rPr>
        <w:t>Ханты-Мансийского автономн</w:t>
      </w:r>
      <w:r>
        <w:rPr>
          <w:b/>
          <w:sz w:val="18"/>
          <w:szCs w:val="18"/>
        </w:rPr>
        <w:t>ого округа - Югры за № 7845 от 09.12.2024</w:t>
      </w:r>
    </w:p>
    <w:p w14:paraId="5DBB16D5" w14:textId="77777777" w:rsidR="00495E5A" w:rsidRDefault="00120D74">
      <w:pPr>
        <w:pStyle w:val="2"/>
        <w:rPr>
          <w:color w:val="000000" w:themeColor="text1"/>
          <w:szCs w:val="28"/>
          <w:lang w:val="ru-RU"/>
        </w:rPr>
      </w:pPr>
      <w:r>
        <w:rPr>
          <w:noProof/>
        </w:rPr>
        <w:drawing>
          <wp:inline distT="0" distB="0" distL="0" distR="0" wp14:anchorId="44156E81" wp14:editId="053D1100">
            <wp:extent cx="668020" cy="6121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81576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68017" cy="612137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6D67C1CB" w14:textId="77777777" w:rsidR="00495E5A" w:rsidRDefault="00495E5A">
      <w:pPr>
        <w:pStyle w:val="2"/>
        <w:rPr>
          <w:color w:val="000000" w:themeColor="text1"/>
          <w:szCs w:val="28"/>
          <w:lang w:val="ru-RU"/>
        </w:rPr>
      </w:pPr>
    </w:p>
    <w:p w14:paraId="40826F79" w14:textId="77777777" w:rsidR="00495E5A" w:rsidRDefault="00120D74">
      <w:pPr>
        <w:pStyle w:val="2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РЕГИОНАЛЬНАЯ СЛУЖБА ПО ТАРИФАМ</w:t>
      </w:r>
    </w:p>
    <w:p w14:paraId="66FB4FFE" w14:textId="77777777" w:rsidR="00495E5A" w:rsidRDefault="00120D74">
      <w:pPr>
        <w:pStyle w:val="2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ХАНТЫ-МАНСИЙСКОГО АВТОНОМНОГО ОКРУГА – ЮГРЫ</w:t>
      </w:r>
    </w:p>
    <w:p w14:paraId="5238B7B6" w14:textId="77777777" w:rsidR="00495E5A" w:rsidRDefault="00120D74">
      <w:pPr>
        <w:shd w:val="clear" w:color="auto" w:fill="FFFFFF"/>
        <w:jc w:val="center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>(РСТ ЮГРЫ)</w:t>
      </w:r>
    </w:p>
    <w:p w14:paraId="64ECA54B" w14:textId="77777777" w:rsidR="00495E5A" w:rsidRDefault="00495E5A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14:paraId="658E28D4" w14:textId="77777777" w:rsidR="00495E5A" w:rsidRDefault="00120D74">
      <w:pPr>
        <w:shd w:val="clear" w:color="auto" w:fill="FFFFFF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ПРИКАЗ</w:t>
      </w:r>
    </w:p>
    <w:p w14:paraId="19C12D27" w14:textId="77777777" w:rsidR="00495E5A" w:rsidRDefault="00495E5A">
      <w:pPr>
        <w:shd w:val="clear" w:color="auto" w:fill="FFFFFF"/>
        <w:jc w:val="center"/>
        <w:rPr>
          <w:b/>
          <w:color w:val="000000" w:themeColor="text1"/>
          <w:sz w:val="24"/>
          <w:szCs w:val="24"/>
        </w:rPr>
      </w:pPr>
    </w:p>
    <w:p w14:paraId="22EDE65F" w14:textId="77777777" w:rsidR="00495E5A" w:rsidRDefault="00120D74">
      <w:pPr>
        <w:pStyle w:val="1"/>
        <w:spacing w:before="0" w:after="0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в некоторые приказы </w:t>
      </w:r>
      <w:r>
        <w:rPr>
          <w:rFonts w:ascii="Times New Roman" w:hAnsi="Times New Roman"/>
          <w:color w:val="000000" w:themeColor="text1"/>
          <w:sz w:val="28"/>
          <w:szCs w:val="28"/>
        </w:rPr>
        <w:t>Региональной службы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по тарифам Ханты-Мансийского автономного округа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Югры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1BAB7CA4" w14:textId="77777777" w:rsidR="00495E5A" w:rsidRDefault="00120D74">
      <w:pPr>
        <w:shd w:val="clear" w:color="auto" w:fill="FFFFFF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г. Ханты-Мансийск</w:t>
      </w:r>
    </w:p>
    <w:p w14:paraId="1CD966EA" w14:textId="77777777" w:rsidR="00495E5A" w:rsidRDefault="00120D74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 декабря 2024 г.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              № 77-нп</w:t>
      </w:r>
    </w:p>
    <w:p w14:paraId="5B4DCF7C" w14:textId="77777777" w:rsidR="00495E5A" w:rsidRDefault="00495E5A">
      <w:pPr>
        <w:shd w:val="clear" w:color="auto" w:fill="FFFFFF"/>
        <w:jc w:val="center"/>
        <w:rPr>
          <w:color w:val="000000" w:themeColor="text1"/>
          <w:szCs w:val="28"/>
        </w:rPr>
      </w:pPr>
    </w:p>
    <w:p w14:paraId="531DB5E4" w14:textId="77777777" w:rsidR="00495E5A" w:rsidRDefault="00120D74">
      <w:pPr>
        <w:ind w:firstLine="709"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В соответствии с Федеральным законом от 27 июля 2010 года</w:t>
      </w:r>
      <w:r>
        <w:rPr>
          <w:rFonts w:eastAsia="Calibri"/>
          <w:color w:val="000000" w:themeColor="text1"/>
          <w:szCs w:val="28"/>
        </w:rPr>
        <w:br/>
        <w:t>№ 190-ФЗ «О теплоснабжении», постановлением Правительства Российской Федерации от 22 октября 2012 года № 1075</w:t>
      </w:r>
      <w:r>
        <w:rPr>
          <w:rFonts w:eastAsia="Calibri"/>
          <w:color w:val="000000" w:themeColor="text1"/>
          <w:szCs w:val="28"/>
        </w:rPr>
        <w:br/>
        <w:t>«О ценообразовании в сфере теплоснабжения», приказами Федеральной службы по тарифам от 7 июня 2013 года № 163 «Об утверждении Регламента открытия дел об установлении регулируемых</w:t>
      </w:r>
      <w:r>
        <w:rPr>
          <w:rFonts w:eastAsia="Calibri"/>
          <w:color w:val="000000" w:themeColor="text1"/>
          <w:szCs w:val="28"/>
        </w:rPr>
        <w:br/>
        <w:t>цен (тарифов) и отмене регулирования тарифов в сфере теплоснабжения», от 13 июня 2013 года № 760-э «Об утверждении Методических указаний по расчету регулируемых цен (тарифов) в сфере теплоснабжения», постановлением Правите</w:t>
      </w:r>
      <w:r>
        <w:rPr>
          <w:rFonts w:eastAsia="Calibri"/>
          <w:color w:val="000000" w:themeColor="text1"/>
          <w:szCs w:val="28"/>
        </w:rPr>
        <w:t>льства Ханты-Мансийского автономного</w:t>
      </w:r>
      <w:r>
        <w:rPr>
          <w:rFonts w:eastAsia="Calibri"/>
          <w:color w:val="000000" w:themeColor="text1"/>
          <w:szCs w:val="28"/>
        </w:rPr>
        <w:br/>
        <w:t>округа – Югры от 14 апреля 2012 года № 137-п «О Региональной службе по тарифам Ханты-Мансийского автономного округа – Югры»,</w:t>
      </w:r>
      <w:r>
        <w:rPr>
          <w:rFonts w:eastAsia="Calibri"/>
          <w:color w:val="000000" w:themeColor="text1"/>
          <w:szCs w:val="28"/>
        </w:rPr>
        <w:br/>
        <w:t xml:space="preserve">на основании обращений теплоснабжающих организаций и протокола правления Региональной службы по тарифам Ханты-Мансийского автономного округа – Югры от 3 декабря 2024 года № 56 </w:t>
      </w:r>
      <w:r>
        <w:rPr>
          <w:rFonts w:eastAsia="Calibri"/>
          <w:color w:val="000000" w:themeColor="text1"/>
          <w:szCs w:val="28"/>
        </w:rPr>
        <w:br/>
      </w:r>
      <w:r>
        <w:rPr>
          <w:rFonts w:eastAsia="Calibri"/>
          <w:b/>
          <w:color w:val="000000" w:themeColor="text1"/>
          <w:szCs w:val="28"/>
        </w:rPr>
        <w:t>п р и к а з ы в а ю</w:t>
      </w:r>
      <w:r>
        <w:rPr>
          <w:rFonts w:eastAsia="Calibri"/>
          <w:color w:val="000000" w:themeColor="text1"/>
          <w:szCs w:val="28"/>
        </w:rPr>
        <w:t>:</w:t>
      </w:r>
    </w:p>
    <w:p w14:paraId="35D7D09C" w14:textId="77777777" w:rsidR="00495E5A" w:rsidRDefault="00495E5A">
      <w:pPr>
        <w:ind w:firstLine="709"/>
        <w:jc w:val="both"/>
        <w:rPr>
          <w:color w:val="000000" w:themeColor="text1"/>
          <w:szCs w:val="28"/>
        </w:rPr>
      </w:pPr>
    </w:p>
    <w:p w14:paraId="29DA4773" w14:textId="77777777" w:rsidR="00495E5A" w:rsidRDefault="00120D74">
      <w:pPr>
        <w:ind w:firstLine="708"/>
        <w:jc w:val="both"/>
        <w:rPr>
          <w:rFonts w:eastAsia="Calibri"/>
          <w:color w:val="000000" w:themeColor="text1"/>
          <w:szCs w:val="28"/>
        </w:rPr>
      </w:pPr>
      <w:r>
        <w:rPr>
          <w:szCs w:val="28"/>
        </w:rPr>
        <w:t xml:space="preserve">3. Внести в приказ </w:t>
      </w:r>
      <w:r>
        <w:rPr>
          <w:color w:val="000000" w:themeColor="text1"/>
          <w:szCs w:val="28"/>
        </w:rPr>
        <w:t xml:space="preserve">Региональной службы по тарифам </w:t>
      </w:r>
      <w:r>
        <w:rPr>
          <w:color w:val="000000" w:themeColor="text1"/>
          <w:szCs w:val="28"/>
        </w:rPr>
        <w:br/>
        <w:t xml:space="preserve">Ханты-Мансийского автономного </w:t>
      </w:r>
      <w:r>
        <w:rPr>
          <w:rFonts w:eastAsia="Calibri"/>
          <w:color w:val="000000" w:themeColor="text1"/>
          <w:szCs w:val="28"/>
        </w:rPr>
        <w:t>округа – Югры</w:t>
      </w:r>
      <w:r>
        <w:rPr>
          <w:color w:val="000000"/>
          <w:szCs w:val="28"/>
        </w:rPr>
        <w:t xml:space="preserve"> от 29 ноября 2022 года № 95-нп «</w:t>
      </w:r>
      <w:r>
        <w:rPr>
          <w:rFonts w:eastAsia="Calibri"/>
          <w:color w:val="000000" w:themeColor="text1"/>
          <w:szCs w:val="28"/>
        </w:rPr>
        <w:t>Об установлении тарифов на тепловую энергию (мощность), поставляемую теплоснабжающими организациями потребителям, и о внесении изменений в некоторые приказы Региональной службы по тарифам Ханты-Мансийского автономного округа – Югры</w:t>
      </w:r>
      <w:r>
        <w:rPr>
          <w:color w:val="000000"/>
          <w:szCs w:val="28"/>
        </w:rPr>
        <w:t xml:space="preserve">» следующие </w:t>
      </w:r>
      <w:r>
        <w:rPr>
          <w:rFonts w:eastAsia="Calibri"/>
          <w:color w:val="000000" w:themeColor="text1"/>
          <w:szCs w:val="28"/>
        </w:rPr>
        <w:t>изменения:</w:t>
      </w:r>
    </w:p>
    <w:p w14:paraId="27266049" w14:textId="77777777" w:rsidR="00120D74" w:rsidRDefault="00120D74">
      <w:pPr>
        <w:ind w:firstLine="708"/>
        <w:jc w:val="both"/>
        <w:rPr>
          <w:szCs w:val="28"/>
        </w:rPr>
      </w:pPr>
    </w:p>
    <w:p w14:paraId="2B1278BE" w14:textId="74BD8F10" w:rsidR="00495E5A" w:rsidRDefault="00120D74">
      <w:pPr>
        <w:ind w:firstLine="708"/>
        <w:jc w:val="both"/>
        <w:rPr>
          <w:rFonts w:eastAsia="Calibri"/>
          <w:color w:val="000000" w:themeColor="text1"/>
        </w:rPr>
      </w:pPr>
      <w:r>
        <w:rPr>
          <w:szCs w:val="28"/>
        </w:rPr>
        <w:t xml:space="preserve">4. Внести в приказ </w:t>
      </w:r>
      <w:r>
        <w:rPr>
          <w:color w:val="000000" w:themeColor="text1"/>
          <w:szCs w:val="28"/>
        </w:rPr>
        <w:t xml:space="preserve">Региональной службы по тарифам </w:t>
      </w:r>
      <w:r>
        <w:rPr>
          <w:color w:val="000000" w:themeColor="text1"/>
          <w:szCs w:val="28"/>
        </w:rPr>
        <w:br/>
        <w:t xml:space="preserve">Ханты-Мансийского автономного </w:t>
      </w:r>
      <w:r>
        <w:rPr>
          <w:rFonts w:eastAsia="Calibri"/>
          <w:color w:val="000000" w:themeColor="text1"/>
          <w:szCs w:val="28"/>
        </w:rPr>
        <w:t>округа – Югры</w:t>
      </w:r>
      <w:r>
        <w:rPr>
          <w:color w:val="000000"/>
          <w:szCs w:val="28"/>
        </w:rPr>
        <w:t xml:space="preserve"> от 21 ноября 2023 года № 58-нп «</w:t>
      </w:r>
      <w:r>
        <w:rPr>
          <w:rFonts w:eastAsia="Calibri"/>
          <w:color w:val="000000" w:themeColor="text1"/>
          <w:szCs w:val="28"/>
        </w:rPr>
        <w:t xml:space="preserve">Об установлении тарифов на тепловую энергию (мощность), </w:t>
      </w:r>
      <w:r>
        <w:rPr>
          <w:rFonts w:eastAsia="Calibri"/>
          <w:color w:val="000000" w:themeColor="text1"/>
          <w:szCs w:val="28"/>
        </w:rPr>
        <w:lastRenderedPageBreak/>
        <w:t>поставляемую теплоснабжающими организациями потребителям</w:t>
      </w:r>
      <w:r>
        <w:rPr>
          <w:color w:val="000000"/>
          <w:szCs w:val="28"/>
        </w:rPr>
        <w:t xml:space="preserve">» следующие </w:t>
      </w:r>
      <w:r>
        <w:rPr>
          <w:rFonts w:eastAsia="Calibri"/>
          <w:color w:val="000000" w:themeColor="text1"/>
          <w:szCs w:val="28"/>
        </w:rPr>
        <w:t>изменения:</w:t>
      </w:r>
    </w:p>
    <w:p w14:paraId="29528469" w14:textId="77777777" w:rsidR="00120D74" w:rsidRDefault="00120D74">
      <w:pPr>
        <w:ind w:firstLine="708"/>
        <w:jc w:val="both"/>
        <w:rPr>
          <w:rFonts w:eastAsia="Calibri"/>
          <w:color w:val="000000" w:themeColor="text1"/>
          <w:szCs w:val="28"/>
        </w:rPr>
      </w:pPr>
    </w:p>
    <w:tbl>
      <w:tblPr>
        <w:tblW w:w="907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17"/>
        <w:gridCol w:w="2194"/>
        <w:gridCol w:w="709"/>
        <w:gridCol w:w="1559"/>
        <w:gridCol w:w="1421"/>
      </w:tblGrid>
      <w:tr w:rsidR="00495E5A" w14:paraId="4B3349A7" w14:textId="77777777">
        <w:trPr>
          <w:cantSplit/>
          <w:trHeight w:val="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34AE" w14:textId="77777777" w:rsidR="00495E5A" w:rsidRDefault="00120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B076" w14:textId="77777777" w:rsidR="00495E5A" w:rsidRDefault="0012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«Концессионная Коммунальная Компания» в зоне деятельности филиала Общества с ограниченной ответственностью «Концессионная Коммунальная Компания»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Лангепасские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коммунальные системы»</w:t>
            </w:r>
          </w:p>
        </w:tc>
      </w:tr>
      <w:tr w:rsidR="00495E5A" w14:paraId="2DD17F54" w14:textId="77777777">
        <w:trPr>
          <w:cantSplit/>
          <w:trHeight w:val="3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5AA5" w14:textId="77777777" w:rsidR="00495E5A" w:rsidRDefault="00120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30A6" w14:textId="77777777" w:rsidR="00495E5A" w:rsidRDefault="00495E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3FCC" w14:textId="77777777" w:rsidR="00495E5A" w:rsidRDefault="00120D74">
            <w:pPr>
              <w:jc w:val="center"/>
            </w:pPr>
            <w:r>
              <w:rPr>
                <w:szCs w:val="28"/>
              </w:rPr>
              <w:t xml:space="preserve">Для потребителей, в случае отсутствия дифференциации тарифов по схеме подключения на территории городского округа </w:t>
            </w:r>
          </w:p>
          <w:p w14:paraId="617A59BD" w14:textId="77777777" w:rsidR="00495E5A" w:rsidRDefault="00120D74">
            <w:pPr>
              <w:jc w:val="center"/>
            </w:pPr>
            <w:r>
              <w:rPr>
                <w:szCs w:val="28"/>
              </w:rPr>
              <w:t>Лангепас Ханты-Мансийского автономного округа – Югры</w:t>
            </w:r>
          </w:p>
        </w:tc>
      </w:tr>
      <w:tr w:rsidR="00495E5A" w14:paraId="024FCD38" w14:textId="77777777">
        <w:trPr>
          <w:cantSplit/>
          <w:trHeight w:val="3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80EC" w14:textId="77777777" w:rsidR="00495E5A" w:rsidRDefault="00120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BB8C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AD38" w14:textId="77777777" w:rsidR="00495E5A" w:rsidRDefault="0012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2280" w14:textId="77777777" w:rsidR="00495E5A" w:rsidRDefault="0012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4437" w14:textId="77777777" w:rsidR="00495E5A" w:rsidRDefault="00120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1859,83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E945" w14:textId="77777777" w:rsidR="00495E5A" w:rsidRDefault="00120D74">
            <w:pPr>
              <w:jc w:val="center"/>
            </w:pPr>
            <w:r>
              <w:rPr>
                <w:szCs w:val="28"/>
              </w:rPr>
              <w:t>2038,37</w:t>
            </w:r>
          </w:p>
        </w:tc>
      </w:tr>
      <w:tr w:rsidR="00495E5A" w14:paraId="15D4106C" w14:textId="77777777">
        <w:trPr>
          <w:cantSplit/>
          <w:trHeight w:val="3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85F4" w14:textId="77777777" w:rsidR="00495E5A" w:rsidRDefault="00120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5.1.2.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CCB7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689C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2A9A" w14:textId="77777777" w:rsidR="00495E5A" w:rsidRDefault="0012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0838" w14:textId="77777777" w:rsidR="00495E5A" w:rsidRDefault="00120D74">
            <w:pPr>
              <w:jc w:val="center"/>
            </w:pPr>
            <w:r>
              <w:rPr>
                <w:szCs w:val="28"/>
              </w:rPr>
              <w:t>2038,37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47F9" w14:textId="77777777" w:rsidR="00495E5A" w:rsidRDefault="00120D74">
            <w:pPr>
              <w:jc w:val="center"/>
            </w:pPr>
            <w:r>
              <w:t>2221,82</w:t>
            </w:r>
          </w:p>
        </w:tc>
      </w:tr>
      <w:tr w:rsidR="00495E5A" w14:paraId="7E4506F4" w14:textId="77777777">
        <w:trPr>
          <w:cantSplit/>
          <w:trHeight w:val="3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C78B" w14:textId="77777777" w:rsidR="00495E5A" w:rsidRDefault="00120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5.1.3.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DDD6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3961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0187" w14:textId="77777777" w:rsidR="00495E5A" w:rsidRDefault="0012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4FDE" w14:textId="77777777" w:rsidR="00495E5A" w:rsidRDefault="00120D74">
            <w:pPr>
              <w:jc w:val="center"/>
            </w:pPr>
            <w:r>
              <w:t>2221,82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B77C" w14:textId="77777777" w:rsidR="00495E5A" w:rsidRDefault="00120D74">
            <w:pPr>
              <w:jc w:val="center"/>
            </w:pPr>
            <w:r>
              <w:t>2240,64</w:t>
            </w:r>
          </w:p>
        </w:tc>
      </w:tr>
      <w:tr w:rsidR="00495E5A" w14:paraId="216BA669" w14:textId="77777777">
        <w:trPr>
          <w:cantSplit/>
          <w:trHeight w:val="3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C8F6" w14:textId="77777777" w:rsidR="00495E5A" w:rsidRDefault="00120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5.1.4.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44D4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7374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D51F" w14:textId="77777777" w:rsidR="00495E5A" w:rsidRDefault="0012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F801" w14:textId="77777777" w:rsidR="00495E5A" w:rsidRDefault="00120D74">
            <w:pPr>
              <w:jc w:val="center"/>
            </w:pPr>
            <w:r>
              <w:t>2240,64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0DDC" w14:textId="77777777" w:rsidR="00495E5A" w:rsidRDefault="00120D74">
            <w:pPr>
              <w:jc w:val="center"/>
            </w:pPr>
            <w:r>
              <w:t>2348,17</w:t>
            </w:r>
          </w:p>
        </w:tc>
      </w:tr>
      <w:tr w:rsidR="00495E5A" w14:paraId="15ACFD2E" w14:textId="77777777">
        <w:trPr>
          <w:cantSplit/>
          <w:trHeight w:val="3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DCCB" w14:textId="77777777" w:rsidR="00495E5A" w:rsidRDefault="00120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5.1.5.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18A2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E43B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7C0F" w14:textId="77777777" w:rsidR="00495E5A" w:rsidRDefault="0012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1001" w14:textId="77777777" w:rsidR="00495E5A" w:rsidRDefault="00120D74">
            <w:pPr>
              <w:jc w:val="center"/>
            </w:pPr>
            <w:r>
              <w:t>2348,17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FE49" w14:textId="77777777" w:rsidR="00495E5A" w:rsidRDefault="00120D74">
            <w:pPr>
              <w:jc w:val="center"/>
            </w:pPr>
            <w:r>
              <w:t>2352,87</w:t>
            </w:r>
          </w:p>
        </w:tc>
      </w:tr>
      <w:tr w:rsidR="00495E5A" w14:paraId="2CDC4F59" w14:textId="77777777">
        <w:trPr>
          <w:cantSplit/>
          <w:trHeight w:val="3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8C34" w14:textId="77777777" w:rsidR="00495E5A" w:rsidRDefault="00120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5.1.6.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6D19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397C" w14:textId="77777777" w:rsidR="00495E5A" w:rsidRDefault="00120D74">
            <w:r>
              <w:rPr>
                <w:szCs w:val="28"/>
              </w:rPr>
              <w:t xml:space="preserve">Население (тарифы указываются с учетом НДС) </w:t>
            </w:r>
            <w:hyperlink r:id="rId9" w:tooltip="consultantplus://offline/ref=D90A2F1703EFF1070A63F99214A7E2CAE14F5EA245D3DDEEE56A4E3351ECDD1B225A031789EAAB7AkAnFF" w:history="1">
              <w:r>
                <w:rPr>
                  <w:szCs w:val="28"/>
                </w:rPr>
                <w:t>*</w:t>
              </w:r>
            </w:hyperlink>
          </w:p>
        </w:tc>
      </w:tr>
      <w:tr w:rsidR="00495E5A" w14:paraId="4E2AB395" w14:textId="77777777">
        <w:trPr>
          <w:cantSplit/>
          <w:trHeight w:val="3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C235" w14:textId="77777777" w:rsidR="00495E5A" w:rsidRDefault="00120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5.1.7.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1990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C86687" w14:textId="77777777" w:rsidR="00495E5A" w:rsidRDefault="0012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323F" w14:textId="77777777" w:rsidR="00495E5A" w:rsidRDefault="0012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4F43" w14:textId="77777777" w:rsidR="00495E5A" w:rsidRDefault="00120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2231,80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95E8" w14:textId="77777777" w:rsidR="00495E5A" w:rsidRDefault="00120D74">
            <w:pPr>
              <w:jc w:val="center"/>
            </w:pPr>
            <w:r>
              <w:rPr>
                <w:szCs w:val="28"/>
              </w:rPr>
              <w:t>2446,04</w:t>
            </w:r>
          </w:p>
        </w:tc>
      </w:tr>
      <w:tr w:rsidR="00495E5A" w14:paraId="537E7CCB" w14:textId="77777777">
        <w:trPr>
          <w:cantSplit/>
          <w:trHeight w:val="3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2DD9" w14:textId="77777777" w:rsidR="00495E5A" w:rsidRDefault="00120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5.1.8.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CC0E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7EFFB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412F" w14:textId="77777777" w:rsidR="00495E5A" w:rsidRDefault="0012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691C" w14:textId="77777777" w:rsidR="00495E5A" w:rsidRDefault="00120D74">
            <w:pPr>
              <w:jc w:val="center"/>
            </w:pPr>
            <w:r>
              <w:rPr>
                <w:szCs w:val="28"/>
              </w:rPr>
              <w:t>2446,04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4A7C" w14:textId="77777777" w:rsidR="00495E5A" w:rsidRDefault="00120D74">
            <w:pPr>
              <w:jc w:val="center"/>
            </w:pPr>
            <w:r>
              <w:t>2666,18</w:t>
            </w:r>
          </w:p>
        </w:tc>
      </w:tr>
      <w:tr w:rsidR="00495E5A" w14:paraId="244645E7" w14:textId="77777777">
        <w:trPr>
          <w:cantSplit/>
          <w:trHeight w:val="3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5A6D" w14:textId="77777777" w:rsidR="00495E5A" w:rsidRDefault="00120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5.1.9.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E9E7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528BE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FB75" w14:textId="77777777" w:rsidR="00495E5A" w:rsidRDefault="0012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89DA" w14:textId="77777777" w:rsidR="00495E5A" w:rsidRDefault="00120D74">
            <w:pPr>
              <w:jc w:val="center"/>
            </w:pPr>
            <w:r>
              <w:t>2666,18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3B92" w14:textId="77777777" w:rsidR="00495E5A" w:rsidRDefault="00120D74">
            <w:pPr>
              <w:jc w:val="center"/>
            </w:pPr>
            <w:r>
              <w:t>2688,77</w:t>
            </w:r>
          </w:p>
        </w:tc>
      </w:tr>
      <w:tr w:rsidR="00495E5A" w14:paraId="1D04AD1B" w14:textId="77777777">
        <w:trPr>
          <w:cantSplit/>
          <w:trHeight w:val="3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7E0B" w14:textId="77777777" w:rsidR="00495E5A" w:rsidRDefault="00120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5.1.10.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3EA4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400D4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AA64" w14:textId="77777777" w:rsidR="00495E5A" w:rsidRDefault="0012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B550" w14:textId="77777777" w:rsidR="00495E5A" w:rsidRDefault="00120D74">
            <w:pPr>
              <w:jc w:val="center"/>
            </w:pPr>
            <w:r>
              <w:t>2688,77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A8FD" w14:textId="77777777" w:rsidR="00495E5A" w:rsidRDefault="00120D74">
            <w:pPr>
              <w:jc w:val="center"/>
            </w:pPr>
            <w:r>
              <w:t>2817,80</w:t>
            </w:r>
          </w:p>
        </w:tc>
      </w:tr>
      <w:tr w:rsidR="00495E5A" w14:paraId="6A29ECFE" w14:textId="77777777">
        <w:trPr>
          <w:cantSplit/>
          <w:trHeight w:val="3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AB51" w14:textId="77777777" w:rsidR="00495E5A" w:rsidRDefault="00120D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5.1.11.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1958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136B" w14:textId="77777777" w:rsidR="00495E5A" w:rsidRDefault="00495E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D088" w14:textId="77777777" w:rsidR="00495E5A" w:rsidRDefault="00120D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B105" w14:textId="77777777" w:rsidR="00495E5A" w:rsidRDefault="00120D74">
            <w:pPr>
              <w:jc w:val="center"/>
            </w:pPr>
            <w:r>
              <w:t>2817,80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EED4" w14:textId="77777777" w:rsidR="00495E5A" w:rsidRDefault="00120D74">
            <w:pPr>
              <w:jc w:val="center"/>
            </w:pPr>
            <w:r>
              <w:t>2823,44</w:t>
            </w:r>
          </w:p>
        </w:tc>
      </w:tr>
    </w:tbl>
    <w:p w14:paraId="09E531C2" w14:textId="77777777" w:rsidR="00120D74" w:rsidRDefault="00120D74">
      <w:pPr>
        <w:ind w:firstLine="708"/>
        <w:jc w:val="both"/>
        <w:rPr>
          <w:rFonts w:eastAsia="Calibri"/>
          <w:color w:val="000000" w:themeColor="text1"/>
          <w:szCs w:val="28"/>
        </w:rPr>
      </w:pPr>
    </w:p>
    <w:p w14:paraId="6A58DCE9" w14:textId="77777777" w:rsidR="00495E5A" w:rsidRDefault="00495E5A">
      <w:pPr>
        <w:ind w:firstLine="708"/>
        <w:jc w:val="both"/>
        <w:rPr>
          <w:rFonts w:eastAsia="Calibri"/>
          <w:color w:val="000000" w:themeColor="text1"/>
          <w:szCs w:val="28"/>
        </w:rPr>
      </w:pPr>
    </w:p>
    <w:p w14:paraId="38D5C89F" w14:textId="77777777" w:rsidR="00120D74" w:rsidRDefault="00120D74">
      <w:pPr>
        <w:ind w:firstLine="708"/>
        <w:jc w:val="both"/>
        <w:rPr>
          <w:rFonts w:eastAsia="Calibri"/>
          <w:color w:val="000000" w:themeColor="text1"/>
        </w:rPr>
      </w:pPr>
    </w:p>
    <w:p w14:paraId="6E1FD220" w14:textId="77777777" w:rsidR="00495E5A" w:rsidRDefault="00495E5A">
      <w:pPr>
        <w:pStyle w:val="af5"/>
        <w:rPr>
          <w:color w:val="000000" w:themeColor="text1"/>
          <w:szCs w:val="28"/>
          <w:lang w:val="ru-RU"/>
        </w:rPr>
      </w:pPr>
    </w:p>
    <w:p w14:paraId="55CCFCA7" w14:textId="77777777" w:rsidR="00495E5A" w:rsidRDefault="00495E5A">
      <w:pPr>
        <w:pStyle w:val="af5"/>
        <w:rPr>
          <w:color w:val="000000" w:themeColor="text1"/>
          <w:szCs w:val="28"/>
          <w:lang w:val="ru-RU"/>
        </w:rPr>
      </w:pPr>
    </w:p>
    <w:p w14:paraId="34056338" w14:textId="77777777" w:rsidR="00495E5A" w:rsidRDefault="00120D74">
      <w:pPr>
        <w:pStyle w:val="af5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Руководитель </w:t>
      </w:r>
      <w:proofErr w:type="gramStart"/>
      <w:r>
        <w:rPr>
          <w:color w:val="000000" w:themeColor="text1"/>
          <w:szCs w:val="28"/>
          <w:lang w:val="ru-RU"/>
        </w:rPr>
        <w:t xml:space="preserve">службы  </w:t>
      </w:r>
      <w:r>
        <w:rPr>
          <w:color w:val="000000" w:themeColor="text1"/>
          <w:szCs w:val="28"/>
          <w:lang w:val="ru-RU"/>
        </w:rPr>
        <w:tab/>
      </w:r>
      <w:proofErr w:type="gramEnd"/>
      <w:r>
        <w:rPr>
          <w:color w:val="000000" w:themeColor="text1"/>
          <w:szCs w:val="28"/>
          <w:lang w:val="ru-RU"/>
        </w:rPr>
        <w:tab/>
      </w:r>
      <w:r>
        <w:rPr>
          <w:color w:val="000000" w:themeColor="text1"/>
          <w:szCs w:val="28"/>
          <w:lang w:val="ru-RU"/>
        </w:rPr>
        <w:tab/>
      </w:r>
      <w:r>
        <w:rPr>
          <w:color w:val="000000" w:themeColor="text1"/>
          <w:szCs w:val="28"/>
          <w:lang w:val="ru-RU"/>
        </w:rPr>
        <w:tab/>
      </w:r>
      <w:r>
        <w:rPr>
          <w:color w:val="000000" w:themeColor="text1"/>
          <w:szCs w:val="28"/>
          <w:lang w:val="ru-RU"/>
        </w:rPr>
        <w:tab/>
      </w:r>
      <w:r>
        <w:rPr>
          <w:color w:val="000000" w:themeColor="text1"/>
          <w:szCs w:val="28"/>
          <w:lang w:val="ru-RU"/>
        </w:rPr>
        <w:tab/>
        <w:t xml:space="preserve">        А.А. Березовский</w:t>
      </w:r>
    </w:p>
    <w:p w14:paraId="4DBC18EF" w14:textId="77777777" w:rsidR="00495E5A" w:rsidRDefault="00495E5A">
      <w:pPr>
        <w:rPr>
          <w:szCs w:val="28"/>
        </w:rPr>
      </w:pPr>
    </w:p>
    <w:sectPr w:rsidR="00495E5A">
      <w:headerReference w:type="even" r:id="rId10"/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8C33" w14:textId="77777777" w:rsidR="00495E5A" w:rsidRDefault="00120D74">
      <w:r>
        <w:separator/>
      </w:r>
    </w:p>
  </w:endnote>
  <w:endnote w:type="continuationSeparator" w:id="0">
    <w:p w14:paraId="0F26B0CB" w14:textId="77777777" w:rsidR="00495E5A" w:rsidRDefault="0012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478F5" w14:textId="77777777" w:rsidR="00495E5A" w:rsidRDefault="00120D74">
      <w:r>
        <w:separator/>
      </w:r>
    </w:p>
  </w:footnote>
  <w:footnote w:type="continuationSeparator" w:id="0">
    <w:p w14:paraId="02466F9C" w14:textId="77777777" w:rsidR="00495E5A" w:rsidRDefault="0012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819E" w14:textId="77777777" w:rsidR="00495E5A" w:rsidRDefault="00120D74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41BD430B" w14:textId="77777777" w:rsidR="00495E5A" w:rsidRDefault="00495E5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0C34" w14:textId="77777777" w:rsidR="00495E5A" w:rsidRDefault="00120D74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14</w:t>
    </w:r>
    <w:r>
      <w:rPr>
        <w:rStyle w:val="afa"/>
      </w:rPr>
      <w:fldChar w:fldCharType="end"/>
    </w:r>
  </w:p>
  <w:p w14:paraId="5A680EF7" w14:textId="77777777" w:rsidR="00495E5A" w:rsidRDefault="00495E5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054C"/>
    <w:multiLevelType w:val="multilevel"/>
    <w:tmpl w:val="CB0ADD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1C2B44B5"/>
    <w:multiLevelType w:val="hybridMultilevel"/>
    <w:tmpl w:val="38546A14"/>
    <w:lvl w:ilvl="0" w:tplc="075A801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6C14AD76">
      <w:start w:val="1"/>
      <w:numFmt w:val="lowerLetter"/>
      <w:lvlText w:val="%2."/>
      <w:lvlJc w:val="left"/>
      <w:pPr>
        <w:ind w:left="1789" w:hanging="360"/>
      </w:pPr>
    </w:lvl>
    <w:lvl w:ilvl="2" w:tplc="16D8C318">
      <w:start w:val="1"/>
      <w:numFmt w:val="lowerRoman"/>
      <w:lvlText w:val="%3."/>
      <w:lvlJc w:val="right"/>
      <w:pPr>
        <w:ind w:left="2509" w:hanging="180"/>
      </w:pPr>
    </w:lvl>
    <w:lvl w:ilvl="3" w:tplc="FA16D560">
      <w:start w:val="1"/>
      <w:numFmt w:val="decimal"/>
      <w:lvlText w:val="%4."/>
      <w:lvlJc w:val="left"/>
      <w:pPr>
        <w:ind w:left="3229" w:hanging="360"/>
      </w:pPr>
    </w:lvl>
    <w:lvl w:ilvl="4" w:tplc="63009508">
      <w:start w:val="1"/>
      <w:numFmt w:val="lowerLetter"/>
      <w:lvlText w:val="%5."/>
      <w:lvlJc w:val="left"/>
      <w:pPr>
        <w:ind w:left="3949" w:hanging="360"/>
      </w:pPr>
    </w:lvl>
    <w:lvl w:ilvl="5" w:tplc="C13A5704">
      <w:start w:val="1"/>
      <w:numFmt w:val="lowerRoman"/>
      <w:lvlText w:val="%6."/>
      <w:lvlJc w:val="right"/>
      <w:pPr>
        <w:ind w:left="4669" w:hanging="180"/>
      </w:pPr>
    </w:lvl>
    <w:lvl w:ilvl="6" w:tplc="C3DEC6B0">
      <w:start w:val="1"/>
      <w:numFmt w:val="decimal"/>
      <w:lvlText w:val="%7."/>
      <w:lvlJc w:val="left"/>
      <w:pPr>
        <w:ind w:left="5389" w:hanging="360"/>
      </w:pPr>
    </w:lvl>
    <w:lvl w:ilvl="7" w:tplc="C95EC2D0">
      <w:start w:val="1"/>
      <w:numFmt w:val="lowerLetter"/>
      <w:lvlText w:val="%8."/>
      <w:lvlJc w:val="left"/>
      <w:pPr>
        <w:ind w:left="6109" w:hanging="360"/>
      </w:pPr>
    </w:lvl>
    <w:lvl w:ilvl="8" w:tplc="1B029E2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333EA6"/>
    <w:multiLevelType w:val="multilevel"/>
    <w:tmpl w:val="54BE8812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2FFD392B"/>
    <w:multiLevelType w:val="multilevel"/>
    <w:tmpl w:val="D542EA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368C4F05"/>
    <w:multiLevelType w:val="multilevel"/>
    <w:tmpl w:val="7B94635C"/>
    <w:lvl w:ilvl="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4F05413C"/>
    <w:multiLevelType w:val="multilevel"/>
    <w:tmpl w:val="CBC84CB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1255866419">
    <w:abstractNumId w:val="5"/>
  </w:num>
  <w:num w:numId="2" w16cid:durableId="496270787">
    <w:abstractNumId w:val="3"/>
  </w:num>
  <w:num w:numId="3" w16cid:durableId="1132551692">
    <w:abstractNumId w:val="0"/>
  </w:num>
  <w:num w:numId="4" w16cid:durableId="675575921">
    <w:abstractNumId w:val="4"/>
  </w:num>
  <w:num w:numId="5" w16cid:durableId="23676145">
    <w:abstractNumId w:val="1"/>
  </w:num>
  <w:num w:numId="6" w16cid:durableId="2070028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5A"/>
    <w:rsid w:val="00120D74"/>
    <w:rsid w:val="00395156"/>
    <w:rsid w:val="0049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4CAE"/>
  <w15:docId w15:val="{87BF52AE-BC15-4AC7-B6B7-C1A35E16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lang w:val="en-US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pPr>
      <w:jc w:val="both"/>
    </w:pPr>
    <w:rPr>
      <w:lang w:val="en-US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/>
      <w:sz w:val="28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customStyle="1" w:styleId="CharChar">
    <w:name w:val="Char Char"/>
    <w:basedOn w:val="a"/>
    <w:pPr>
      <w:spacing w:after="160" w:line="240" w:lineRule="exact"/>
    </w:pPr>
    <w:rPr>
      <w:lang w:val="en-US" w:eastAsia="en-US"/>
    </w:rPr>
  </w:style>
  <w:style w:type="paragraph" w:styleId="afb">
    <w:name w:val="Body Text Indent"/>
    <w:basedOn w:val="a"/>
    <w:link w:val="afc"/>
    <w:pPr>
      <w:spacing w:after="120"/>
      <w:ind w:left="283"/>
    </w:pPr>
    <w:rPr>
      <w:sz w:val="24"/>
      <w:szCs w:val="24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Основной текст Знак"/>
    <w:link w:val="af5"/>
    <w:rPr>
      <w:rFonts w:ascii="Times New Roman" w:eastAsia="Times New Roman" w:hAnsi="Times New Roman"/>
      <w:sz w:val="28"/>
      <w:lang w:val="en-US"/>
    </w:rPr>
  </w:style>
  <w:style w:type="character" w:customStyle="1" w:styleId="af9">
    <w:name w:val="Верхний колонтитул Знак"/>
    <w:link w:val="af8"/>
    <w:uiPriority w:val="99"/>
    <w:rPr>
      <w:rFonts w:ascii="Times New Roman" w:eastAsia="Times New Roman" w:hAnsi="Times New Roman"/>
      <w:sz w:val="28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">
    <w:name w:val="Strong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styleId="aff0">
    <w:name w:val="Subtle Emphasis"/>
    <w:uiPriority w:val="19"/>
    <w:qFormat/>
    <w:rPr>
      <w:i/>
      <w:iCs/>
      <w:color w:val="40404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uiPriority w:val="99"/>
    <w:rPr>
      <w:rFonts w:ascii="Times New Roman" w:eastAsia="Times New Roman" w:hAnsi="Times New Roman"/>
      <w:sz w:val="28"/>
    </w:rPr>
  </w:style>
  <w:style w:type="paragraph" w:customStyle="1" w:styleId="ConsPlusCell">
    <w:name w:val="ConsPlusCell"/>
    <w:uiPriority w:val="99"/>
    <w:rPr>
      <w:rFonts w:ascii="Times New Roman" w:hAnsi="Times New Roman"/>
    </w:rPr>
  </w:style>
  <w:style w:type="character" w:styleId="aff3">
    <w:name w:val="Hyperlink"/>
    <w:uiPriority w:val="99"/>
    <w:unhideWhenUsed/>
    <w:rPr>
      <w:color w:val="0000FF"/>
      <w:u w:val="single"/>
    </w:rPr>
  </w:style>
  <w:style w:type="character" w:customStyle="1" w:styleId="afc">
    <w:name w:val="Основной текст с отступом Знак"/>
    <w:link w:val="afb"/>
    <w:rPr>
      <w:rFonts w:ascii="Times New Roman" w:eastAsia="Times New Roman" w:hAnsi="Times New Roman"/>
      <w:sz w:val="24"/>
      <w:szCs w:val="24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0A2F1703EFF1070A63F99214A7E2CAE14F5EA245D3DDEEE56A4E3351ECDD1B225A031789EAAB7AkAn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07864-BD67-4635-9D62-94DA425B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NeustroevEA</dc:creator>
  <cp:keywords/>
  <cp:lastModifiedBy>Сергеева Ольга Евгеньевна</cp:lastModifiedBy>
  <cp:revision>130</cp:revision>
  <dcterms:created xsi:type="dcterms:W3CDTF">2020-10-19T07:43:00Z</dcterms:created>
  <dcterms:modified xsi:type="dcterms:W3CDTF">2025-03-13T09:46:00Z</dcterms:modified>
</cp:coreProperties>
</file>